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988F2" w14:textId="2DDFD27E" w:rsidR="00FA1262" w:rsidRPr="00FA1262" w:rsidRDefault="00FA1262">
      <w:pPr>
        <w:rPr>
          <w:rFonts w:ascii="Calibri" w:hAnsi="Calibri" w:cs="Calibri"/>
          <w:color w:val="002060"/>
          <w:sz w:val="22"/>
          <w:szCs w:val="22"/>
        </w:rPr>
      </w:pPr>
      <w:r w:rsidRPr="00FA1262">
        <w:rPr>
          <w:rFonts w:ascii="Calibri" w:hAnsi="Calibri" w:cs="Calibri"/>
          <w:color w:val="002060"/>
          <w:sz w:val="22"/>
          <w:szCs w:val="22"/>
        </w:rPr>
        <w:t>Used rubber tyre/tire is restricted commodity and booking can only be allowed with followings terms and conditions.</w:t>
      </w:r>
    </w:p>
    <w:p w14:paraId="31ABBB9C" w14:textId="77777777" w:rsidR="00FA1262" w:rsidRPr="00FA1262" w:rsidRDefault="00FA1262" w:rsidP="00FA1262">
      <w:pPr>
        <w:numPr>
          <w:ilvl w:val="0"/>
          <w:numId w:val="4"/>
        </w:numPr>
        <w:jc w:val="both"/>
        <w:rPr>
          <w:rFonts w:ascii="Calibri" w:hAnsi="Calibri" w:cs="Calibri"/>
          <w:color w:val="002060"/>
          <w:sz w:val="22"/>
          <w:szCs w:val="22"/>
        </w:rPr>
      </w:pPr>
      <w:r w:rsidRPr="00FA1262">
        <w:rPr>
          <w:rFonts w:ascii="Calibri" w:hAnsi="Calibri" w:cs="Calibri"/>
          <w:color w:val="002060"/>
          <w:sz w:val="22"/>
          <w:szCs w:val="22"/>
        </w:rPr>
        <w:t>Final consignee should be MBL consignee.</w:t>
      </w:r>
    </w:p>
    <w:p w14:paraId="24491415" w14:textId="0EDDE23A" w:rsidR="00FA1262" w:rsidRPr="00FA1262" w:rsidRDefault="00FA1262" w:rsidP="00FA1262">
      <w:pPr>
        <w:numPr>
          <w:ilvl w:val="0"/>
          <w:numId w:val="4"/>
        </w:numPr>
        <w:jc w:val="both"/>
        <w:rPr>
          <w:rFonts w:ascii="Calibri" w:hAnsi="Calibri" w:cs="Calibri"/>
          <w:color w:val="002060"/>
          <w:sz w:val="22"/>
          <w:szCs w:val="22"/>
        </w:rPr>
      </w:pPr>
      <w:r w:rsidRPr="00FA1262">
        <w:rPr>
          <w:rFonts w:ascii="Calibri" w:hAnsi="Calibri" w:cs="Calibri"/>
          <w:color w:val="002060"/>
          <w:sz w:val="22"/>
          <w:szCs w:val="22"/>
        </w:rPr>
        <w:t>Final consignee should provide an unconditional Bank Guarantee (BG) for per shipment to Maersk for a minimum period of one (1) year which will be revisited prior to expiry of the BG period to ensure that the final boxes are covered, no shipment will fall out of the BG period.</w:t>
      </w:r>
    </w:p>
    <w:p w14:paraId="38B5B3B2" w14:textId="1B7D7375" w:rsidR="00FA1262" w:rsidRPr="00FA1262" w:rsidRDefault="00FA1262" w:rsidP="00FA1262">
      <w:pPr>
        <w:numPr>
          <w:ilvl w:val="0"/>
          <w:numId w:val="4"/>
        </w:numPr>
        <w:jc w:val="both"/>
        <w:rPr>
          <w:rFonts w:ascii="Calibri" w:hAnsi="Calibri" w:cs="Calibri"/>
          <w:color w:val="002060"/>
          <w:sz w:val="22"/>
          <w:szCs w:val="22"/>
        </w:rPr>
      </w:pPr>
      <w:r w:rsidRPr="00FA1262">
        <w:rPr>
          <w:rFonts w:ascii="Calibri" w:hAnsi="Calibri" w:cs="Calibri"/>
          <w:color w:val="002060"/>
          <w:sz w:val="22"/>
          <w:szCs w:val="22"/>
          <w:lang w:val="en-US"/>
        </w:rPr>
        <w:t>Shipper should provide a Bank Guarantee of USD 100 K</w:t>
      </w:r>
      <w:r w:rsidRPr="00FA1262">
        <w:rPr>
          <w:rFonts w:ascii="Calibri" w:hAnsi="Calibri" w:cs="Calibri"/>
          <w:color w:val="002060"/>
          <w:sz w:val="22"/>
          <w:szCs w:val="22"/>
        </w:rPr>
        <w:t xml:space="preserve">. </w:t>
      </w:r>
      <w:r w:rsidRPr="00FA1262">
        <w:rPr>
          <w:rFonts w:ascii="Calibri" w:hAnsi="Calibri" w:cs="Calibri"/>
          <w:color w:val="002060"/>
          <w:sz w:val="22"/>
          <w:szCs w:val="22"/>
          <w:lang w:val="en-US"/>
        </w:rPr>
        <w:t>MBL consignee in India should provide a BG of INR 25 lakhs</w:t>
      </w:r>
    </w:p>
    <w:p w14:paraId="22943D40" w14:textId="77777777" w:rsidR="00FA1262" w:rsidRPr="00FA1262" w:rsidRDefault="00FA1262" w:rsidP="00FA1262">
      <w:pPr>
        <w:numPr>
          <w:ilvl w:val="0"/>
          <w:numId w:val="4"/>
        </w:numPr>
        <w:jc w:val="both"/>
        <w:rPr>
          <w:rFonts w:ascii="Calibri" w:hAnsi="Calibri" w:cs="Calibri"/>
          <w:color w:val="002060"/>
          <w:sz w:val="22"/>
          <w:szCs w:val="22"/>
        </w:rPr>
      </w:pPr>
      <w:r w:rsidRPr="00FA1262">
        <w:rPr>
          <w:rFonts w:ascii="Calibri" w:hAnsi="Calibri" w:cs="Calibri"/>
          <w:color w:val="002060"/>
          <w:sz w:val="22"/>
          <w:szCs w:val="22"/>
        </w:rPr>
        <w:t>The shipper should also provide the LOI to safeguard Maersk’s interest in case of abandonment of cargo by the final consignee.</w:t>
      </w:r>
    </w:p>
    <w:p w14:paraId="2BFE8F00" w14:textId="77777777" w:rsidR="00FA1262" w:rsidRPr="00FA1262" w:rsidRDefault="00FA1262" w:rsidP="00FA1262">
      <w:pPr>
        <w:numPr>
          <w:ilvl w:val="0"/>
          <w:numId w:val="4"/>
        </w:numPr>
        <w:jc w:val="both"/>
        <w:rPr>
          <w:rFonts w:ascii="Calibri" w:hAnsi="Calibri" w:cs="Calibri"/>
          <w:color w:val="002060"/>
          <w:sz w:val="22"/>
          <w:szCs w:val="22"/>
        </w:rPr>
      </w:pPr>
      <w:r w:rsidRPr="00FA1262">
        <w:rPr>
          <w:rFonts w:ascii="Calibri" w:hAnsi="Calibri" w:cs="Calibri"/>
          <w:color w:val="002060"/>
          <w:sz w:val="22"/>
          <w:szCs w:val="22"/>
        </w:rPr>
        <w:t>Weekly volume needs to be restricted and monitored. Any default from the final consignee to clear cargo or pay any of the local charges including but not limited to THC, D&amp;D will trigger immediate encashment of BG. There should be no longstanding history for the final consignee and no negotiation on any local charges.</w:t>
      </w:r>
    </w:p>
    <w:p w14:paraId="5FC0C92A" w14:textId="77777777" w:rsidR="00FA1262" w:rsidRPr="00FA1262" w:rsidRDefault="00FA1262" w:rsidP="00FA1262">
      <w:pPr>
        <w:numPr>
          <w:ilvl w:val="0"/>
          <w:numId w:val="4"/>
        </w:numPr>
        <w:jc w:val="both"/>
        <w:rPr>
          <w:rFonts w:ascii="Calibri" w:hAnsi="Calibri" w:cs="Calibri"/>
          <w:color w:val="002060"/>
          <w:sz w:val="22"/>
          <w:szCs w:val="22"/>
        </w:rPr>
      </w:pPr>
      <w:r w:rsidRPr="00FA1262">
        <w:rPr>
          <w:rFonts w:ascii="Calibri" w:hAnsi="Calibri" w:cs="Calibri"/>
          <w:color w:val="002060"/>
          <w:sz w:val="22"/>
          <w:szCs w:val="22"/>
        </w:rPr>
        <w:t>MBL consignee should have the valid License(s) to import Yellow Peas in India and should be registered under the Online Import Monitoring System in DGFT and provide supporting evidence to Maersk.</w:t>
      </w:r>
    </w:p>
    <w:p w14:paraId="7651A497" w14:textId="142E1F41" w:rsidR="00FA1262" w:rsidRPr="00FA1262" w:rsidRDefault="00FA1262" w:rsidP="00FA1262">
      <w:pPr>
        <w:numPr>
          <w:ilvl w:val="0"/>
          <w:numId w:val="4"/>
        </w:numPr>
        <w:jc w:val="both"/>
        <w:rPr>
          <w:rFonts w:ascii="Calibri" w:hAnsi="Calibri" w:cs="Calibri"/>
          <w:color w:val="002060"/>
          <w:sz w:val="22"/>
          <w:szCs w:val="22"/>
        </w:rPr>
      </w:pPr>
      <w:r w:rsidRPr="00FA1262">
        <w:rPr>
          <w:rFonts w:ascii="Calibri" w:hAnsi="Calibri" w:cs="Calibri"/>
          <w:color w:val="002060"/>
          <w:sz w:val="22"/>
          <w:szCs w:val="22"/>
        </w:rPr>
        <w:t>Once the containers arrived, consignee will have to move the same to Maersk Nominated CFS. No 3rd Party CFS movement will be allowed.</w:t>
      </w:r>
    </w:p>
    <w:p w14:paraId="4A39079F" w14:textId="55CF5A6A" w:rsidR="00FA1262" w:rsidRPr="00FA1262" w:rsidRDefault="00FA1262" w:rsidP="00FA1262">
      <w:pPr>
        <w:jc w:val="both"/>
        <w:rPr>
          <w:rFonts w:ascii="Calibri" w:hAnsi="Calibri" w:cs="Calibri"/>
          <w:color w:val="002060"/>
          <w:sz w:val="22"/>
          <w:szCs w:val="22"/>
        </w:rPr>
      </w:pPr>
      <w:r w:rsidRPr="00FA1262">
        <w:rPr>
          <w:rFonts w:ascii="Calibri" w:hAnsi="Calibri" w:cs="Calibri"/>
          <w:color w:val="002060"/>
          <w:sz w:val="22"/>
          <w:szCs w:val="22"/>
        </w:rPr>
        <w:t>At present, below is the approved customer list valid till Dec 2025.</w:t>
      </w:r>
    </w:p>
    <w:p w14:paraId="7B025876" w14:textId="77777777" w:rsidR="00FA1262" w:rsidRPr="00FA1262" w:rsidRDefault="00FA1262" w:rsidP="00FA1262">
      <w:pPr>
        <w:jc w:val="both"/>
        <w:rPr>
          <w:rFonts w:ascii="Calibri" w:hAnsi="Calibri" w:cs="Calibri"/>
          <w:color w:val="002060"/>
          <w:sz w:val="22"/>
          <w:szCs w:val="22"/>
        </w:rPr>
      </w:pPr>
      <w:r w:rsidRPr="00FA1262">
        <w:rPr>
          <w:rFonts w:ascii="Calibri" w:hAnsi="Calibri" w:cs="Calibri"/>
          <w:color w:val="002060"/>
          <w:sz w:val="22"/>
          <w:szCs w:val="22"/>
        </w:rPr>
        <w:t xml:space="preserve"> </w:t>
      </w:r>
    </w:p>
    <w:tbl>
      <w:tblPr>
        <w:tblpPr w:leftFromText="180" w:rightFromText="180" w:vertAnchor="page" w:horzAnchor="margin" w:tblpX="-436" w:tblpY="783"/>
        <w:tblW w:w="10158" w:type="dxa"/>
        <w:tblCellMar>
          <w:left w:w="0" w:type="dxa"/>
          <w:right w:w="0" w:type="dxa"/>
        </w:tblCellMar>
        <w:tblLook w:val="04A0" w:firstRow="1" w:lastRow="0" w:firstColumn="1" w:lastColumn="0" w:noHBand="0" w:noVBand="1"/>
      </w:tblPr>
      <w:tblGrid>
        <w:gridCol w:w="2265"/>
        <w:gridCol w:w="2687"/>
        <w:gridCol w:w="5206"/>
      </w:tblGrid>
      <w:tr w:rsidR="00FA1262" w:rsidRPr="00FA1262" w14:paraId="77D3741F" w14:textId="77777777" w:rsidTr="009B7211">
        <w:trPr>
          <w:trHeight w:val="288"/>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08A546" w14:textId="77777777" w:rsidR="00FA1262" w:rsidRPr="00FA1262" w:rsidRDefault="00FA1262" w:rsidP="009B7211">
            <w:pPr>
              <w:jc w:val="both"/>
              <w:rPr>
                <w:rFonts w:ascii="Calibri" w:hAnsi="Calibri" w:cs="Calibri"/>
                <w:b/>
                <w:bCs/>
                <w:color w:val="002060"/>
                <w:sz w:val="22"/>
                <w:szCs w:val="22"/>
              </w:rPr>
            </w:pPr>
            <w:r w:rsidRPr="00FA1262">
              <w:rPr>
                <w:rFonts w:ascii="Calibri" w:hAnsi="Calibri" w:cs="Calibri"/>
                <w:b/>
                <w:bCs/>
                <w:color w:val="002060"/>
                <w:sz w:val="22"/>
                <w:szCs w:val="22"/>
              </w:rPr>
              <w:lastRenderedPageBreak/>
              <w:t>Commodity</w:t>
            </w:r>
          </w:p>
        </w:tc>
        <w:tc>
          <w:tcPr>
            <w:tcW w:w="26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93263" w14:textId="77777777" w:rsidR="00FA1262" w:rsidRPr="00FA1262" w:rsidRDefault="00FA1262" w:rsidP="009B7211">
            <w:pPr>
              <w:jc w:val="both"/>
              <w:rPr>
                <w:rFonts w:ascii="Calibri" w:hAnsi="Calibri" w:cs="Calibri"/>
                <w:b/>
                <w:bCs/>
                <w:color w:val="002060"/>
                <w:sz w:val="22"/>
                <w:szCs w:val="22"/>
              </w:rPr>
            </w:pPr>
            <w:r w:rsidRPr="00FA1262">
              <w:rPr>
                <w:rFonts w:ascii="Calibri" w:hAnsi="Calibri" w:cs="Calibri"/>
                <w:b/>
                <w:bCs/>
                <w:color w:val="002060"/>
                <w:sz w:val="22"/>
                <w:szCs w:val="22"/>
              </w:rPr>
              <w:t>Consignee Name</w:t>
            </w:r>
          </w:p>
        </w:tc>
        <w:tc>
          <w:tcPr>
            <w:tcW w:w="520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DCEF681" w14:textId="77777777" w:rsidR="00FA1262" w:rsidRPr="00FA1262" w:rsidRDefault="00FA1262" w:rsidP="009B7211">
            <w:pPr>
              <w:jc w:val="both"/>
              <w:rPr>
                <w:rFonts w:ascii="Calibri" w:hAnsi="Calibri" w:cs="Calibri"/>
                <w:b/>
                <w:bCs/>
                <w:color w:val="002060"/>
                <w:sz w:val="22"/>
                <w:szCs w:val="22"/>
              </w:rPr>
            </w:pPr>
            <w:r w:rsidRPr="00FA1262">
              <w:rPr>
                <w:rFonts w:ascii="Calibri" w:hAnsi="Calibri" w:cs="Calibri"/>
                <w:b/>
                <w:bCs/>
                <w:color w:val="002060"/>
                <w:sz w:val="22"/>
                <w:szCs w:val="22"/>
              </w:rPr>
              <w:t xml:space="preserve">Conditions for Booking </w:t>
            </w:r>
          </w:p>
        </w:tc>
      </w:tr>
      <w:tr w:rsidR="00FA1262" w:rsidRPr="00FA1262" w14:paraId="409F7C67" w14:textId="77777777" w:rsidTr="009B7211">
        <w:trPr>
          <w:trHeight w:val="518"/>
        </w:trPr>
        <w:tc>
          <w:tcPr>
            <w:tcW w:w="22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1AD17C" w14:textId="77777777" w:rsidR="00FA1262" w:rsidRPr="00FA1262" w:rsidRDefault="00FA1262" w:rsidP="009B7211">
            <w:pPr>
              <w:jc w:val="both"/>
              <w:rPr>
                <w:rFonts w:ascii="Calibri" w:hAnsi="Calibri" w:cs="Calibri"/>
                <w:color w:val="002060"/>
                <w:sz w:val="22"/>
                <w:szCs w:val="22"/>
              </w:rPr>
            </w:pPr>
            <w:r w:rsidRPr="00FA1262">
              <w:rPr>
                <w:rFonts w:ascii="Calibri" w:hAnsi="Calibri" w:cs="Calibri"/>
                <w:color w:val="002060"/>
                <w:sz w:val="22"/>
                <w:szCs w:val="22"/>
              </w:rPr>
              <w:t>Rubber articles, rubber goods (3207) USED - Tires, tyres, rubber (3211) Gloves, surgical gloves, rubber (3202)</w:t>
            </w: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14:paraId="4DE33E37" w14:textId="77777777" w:rsidR="00FA1262" w:rsidRPr="00FA1262" w:rsidRDefault="00FA1262" w:rsidP="009B7211">
            <w:pPr>
              <w:jc w:val="both"/>
              <w:rPr>
                <w:rFonts w:ascii="Calibri" w:hAnsi="Calibri" w:cs="Calibri"/>
                <w:color w:val="002060"/>
                <w:sz w:val="22"/>
                <w:szCs w:val="22"/>
              </w:rPr>
            </w:pPr>
            <w:r w:rsidRPr="00FA1262">
              <w:rPr>
                <w:rFonts w:ascii="Calibri" w:hAnsi="Calibri" w:cs="Calibri"/>
                <w:color w:val="002060"/>
                <w:sz w:val="22"/>
                <w:szCs w:val="22"/>
              </w:rPr>
              <w:t>Tinna Rubber</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21D6985A" w14:textId="77777777" w:rsidR="00FA1262" w:rsidRPr="00FA1262" w:rsidRDefault="00FA1262" w:rsidP="009B7211">
            <w:pPr>
              <w:jc w:val="both"/>
              <w:rPr>
                <w:rFonts w:ascii="Calibri" w:hAnsi="Calibri" w:cs="Calibri"/>
                <w:color w:val="002060"/>
                <w:sz w:val="22"/>
                <w:szCs w:val="22"/>
              </w:rPr>
            </w:pPr>
            <w:r w:rsidRPr="00FA1262">
              <w:rPr>
                <w:rFonts w:ascii="Calibri" w:hAnsi="Calibri" w:cs="Calibri"/>
                <w:color w:val="002060"/>
                <w:sz w:val="22"/>
                <w:szCs w:val="22"/>
              </w:rPr>
              <w:t xml:space="preserve">Booking Party and Price Owner - Tinna Rubber </w:t>
            </w:r>
          </w:p>
        </w:tc>
      </w:tr>
      <w:tr w:rsidR="00FA1262" w:rsidRPr="00FA1262" w14:paraId="3E853440" w14:textId="77777777" w:rsidTr="009B7211">
        <w:trPr>
          <w:trHeight w:val="518"/>
        </w:trPr>
        <w:tc>
          <w:tcPr>
            <w:tcW w:w="2265" w:type="dxa"/>
            <w:vMerge/>
            <w:tcBorders>
              <w:top w:val="nil"/>
              <w:left w:val="single" w:sz="8" w:space="0" w:color="auto"/>
              <w:bottom w:val="single" w:sz="8" w:space="0" w:color="auto"/>
              <w:right w:val="single" w:sz="8" w:space="0" w:color="auto"/>
            </w:tcBorders>
            <w:vAlign w:val="center"/>
            <w:hideMark/>
          </w:tcPr>
          <w:p w14:paraId="41744EBD" w14:textId="77777777" w:rsidR="00FA1262" w:rsidRPr="00FA1262" w:rsidRDefault="00FA1262" w:rsidP="009B7211">
            <w:pPr>
              <w:jc w:val="both"/>
              <w:rPr>
                <w:rFonts w:ascii="Calibri" w:hAnsi="Calibri" w:cs="Calibri"/>
                <w:color w:val="002060"/>
                <w:sz w:val="22"/>
                <w:szCs w:val="22"/>
              </w:rPr>
            </w:pP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14:paraId="25FD81E7" w14:textId="77777777" w:rsidR="00FA1262" w:rsidRPr="00FA1262" w:rsidRDefault="00FA1262" w:rsidP="009B7211">
            <w:pPr>
              <w:jc w:val="both"/>
              <w:rPr>
                <w:rFonts w:ascii="Calibri" w:hAnsi="Calibri" w:cs="Calibri"/>
                <w:color w:val="002060"/>
                <w:sz w:val="22"/>
                <w:szCs w:val="22"/>
              </w:rPr>
            </w:pPr>
            <w:r w:rsidRPr="00FA1262">
              <w:rPr>
                <w:rFonts w:ascii="Calibri" w:hAnsi="Calibri" w:cs="Calibri"/>
                <w:color w:val="002060"/>
                <w:sz w:val="22"/>
                <w:szCs w:val="22"/>
              </w:rPr>
              <w:t>Dashmesh Rubber</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096D3B36" w14:textId="77777777" w:rsidR="00FA1262" w:rsidRPr="00FA1262" w:rsidRDefault="00FA1262" w:rsidP="009B7211">
            <w:pPr>
              <w:jc w:val="both"/>
              <w:rPr>
                <w:rFonts w:ascii="Calibri" w:hAnsi="Calibri" w:cs="Calibri"/>
                <w:color w:val="002060"/>
                <w:sz w:val="22"/>
                <w:szCs w:val="22"/>
              </w:rPr>
            </w:pPr>
            <w:r w:rsidRPr="00FA1262">
              <w:rPr>
                <w:rFonts w:ascii="Calibri" w:hAnsi="Calibri" w:cs="Calibri"/>
                <w:color w:val="002060"/>
                <w:sz w:val="22"/>
                <w:szCs w:val="22"/>
              </w:rPr>
              <w:t xml:space="preserve">Booking Party and Price Owner - Dashmesh Rubber </w:t>
            </w:r>
          </w:p>
        </w:tc>
      </w:tr>
      <w:tr w:rsidR="00FA1262" w:rsidRPr="00FA1262" w14:paraId="4F76C5A9" w14:textId="77777777" w:rsidTr="009B7211">
        <w:trPr>
          <w:trHeight w:val="1037"/>
        </w:trPr>
        <w:tc>
          <w:tcPr>
            <w:tcW w:w="2265" w:type="dxa"/>
            <w:vMerge/>
            <w:tcBorders>
              <w:top w:val="nil"/>
              <w:left w:val="single" w:sz="8" w:space="0" w:color="auto"/>
              <w:bottom w:val="single" w:sz="8" w:space="0" w:color="auto"/>
              <w:right w:val="single" w:sz="8" w:space="0" w:color="auto"/>
            </w:tcBorders>
            <w:vAlign w:val="center"/>
            <w:hideMark/>
          </w:tcPr>
          <w:p w14:paraId="1732467B" w14:textId="77777777" w:rsidR="00FA1262" w:rsidRPr="00FA1262" w:rsidRDefault="00FA1262" w:rsidP="009B7211">
            <w:pPr>
              <w:jc w:val="both"/>
              <w:rPr>
                <w:rFonts w:ascii="Calibri" w:hAnsi="Calibri" w:cs="Calibri"/>
                <w:color w:val="002060"/>
                <w:sz w:val="22"/>
                <w:szCs w:val="22"/>
              </w:rPr>
            </w:pP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14:paraId="7EC69E3E" w14:textId="77777777" w:rsidR="00FA1262" w:rsidRPr="00FA1262" w:rsidRDefault="00FA1262" w:rsidP="009B7211">
            <w:pPr>
              <w:jc w:val="both"/>
              <w:rPr>
                <w:rFonts w:ascii="Calibri" w:hAnsi="Calibri" w:cs="Calibri"/>
                <w:color w:val="002060"/>
                <w:sz w:val="22"/>
                <w:szCs w:val="22"/>
              </w:rPr>
            </w:pPr>
            <w:r w:rsidRPr="00FA1262">
              <w:rPr>
                <w:rFonts w:ascii="Calibri" w:hAnsi="Calibri" w:cs="Calibri"/>
                <w:color w:val="002060"/>
                <w:sz w:val="22"/>
                <w:szCs w:val="22"/>
              </w:rPr>
              <w:t>Chartering RORO</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24B1AE41" w14:textId="77777777" w:rsidR="00FA1262" w:rsidRPr="00FA1262" w:rsidRDefault="00FA1262" w:rsidP="009B7211">
            <w:pPr>
              <w:jc w:val="both"/>
              <w:rPr>
                <w:rFonts w:ascii="Calibri" w:hAnsi="Calibri" w:cs="Calibri"/>
                <w:color w:val="002060"/>
                <w:sz w:val="22"/>
                <w:szCs w:val="22"/>
              </w:rPr>
            </w:pPr>
            <w:r w:rsidRPr="00FA1262">
              <w:rPr>
                <w:rFonts w:ascii="Calibri" w:hAnsi="Calibri" w:cs="Calibri"/>
                <w:color w:val="002060"/>
                <w:sz w:val="22"/>
                <w:szCs w:val="22"/>
              </w:rPr>
              <w:t>Booking Party and Price Owner - Chartering RORO LLP (41002319590) and Chartering RORO LLC (33103302771)</w:t>
            </w:r>
          </w:p>
        </w:tc>
      </w:tr>
      <w:tr w:rsidR="00FA1262" w:rsidRPr="00FA1262" w14:paraId="64243806" w14:textId="77777777" w:rsidTr="009B7211">
        <w:trPr>
          <w:trHeight w:val="518"/>
        </w:trPr>
        <w:tc>
          <w:tcPr>
            <w:tcW w:w="2265" w:type="dxa"/>
            <w:vMerge/>
            <w:tcBorders>
              <w:top w:val="nil"/>
              <w:left w:val="single" w:sz="8" w:space="0" w:color="auto"/>
              <w:bottom w:val="single" w:sz="8" w:space="0" w:color="auto"/>
              <w:right w:val="single" w:sz="8" w:space="0" w:color="auto"/>
            </w:tcBorders>
            <w:vAlign w:val="center"/>
            <w:hideMark/>
          </w:tcPr>
          <w:p w14:paraId="1A89BA44" w14:textId="77777777" w:rsidR="00FA1262" w:rsidRPr="00FA1262" w:rsidRDefault="00FA1262" w:rsidP="009B7211">
            <w:pPr>
              <w:jc w:val="both"/>
              <w:rPr>
                <w:rFonts w:ascii="Calibri" w:hAnsi="Calibri" w:cs="Calibri"/>
                <w:color w:val="002060"/>
                <w:sz w:val="22"/>
                <w:szCs w:val="22"/>
              </w:rPr>
            </w:pP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14:paraId="30BB7C53" w14:textId="77777777" w:rsidR="00FA1262" w:rsidRPr="00FA1262" w:rsidRDefault="00FA1262" w:rsidP="009B7211">
            <w:pPr>
              <w:jc w:val="both"/>
              <w:rPr>
                <w:rFonts w:ascii="Calibri" w:hAnsi="Calibri" w:cs="Calibri"/>
                <w:color w:val="002060"/>
                <w:sz w:val="22"/>
                <w:szCs w:val="22"/>
              </w:rPr>
            </w:pPr>
            <w:r w:rsidRPr="00FA1262">
              <w:rPr>
                <w:rFonts w:ascii="Calibri" w:hAnsi="Calibri" w:cs="Calibri"/>
                <w:color w:val="002060"/>
                <w:sz w:val="22"/>
                <w:szCs w:val="22"/>
              </w:rPr>
              <w:t xml:space="preserve">Oyster Shipping </w:t>
            </w:r>
          </w:p>
        </w:tc>
        <w:tc>
          <w:tcPr>
            <w:tcW w:w="5206" w:type="dxa"/>
            <w:tcBorders>
              <w:top w:val="nil"/>
              <w:left w:val="nil"/>
              <w:bottom w:val="single" w:sz="8" w:space="0" w:color="auto"/>
              <w:right w:val="single" w:sz="8" w:space="0" w:color="auto"/>
            </w:tcBorders>
            <w:noWrap/>
            <w:tcMar>
              <w:top w:w="0" w:type="dxa"/>
              <w:left w:w="108" w:type="dxa"/>
              <w:bottom w:w="0" w:type="dxa"/>
              <w:right w:w="108" w:type="dxa"/>
            </w:tcMar>
            <w:hideMark/>
          </w:tcPr>
          <w:p w14:paraId="239D49C8" w14:textId="77777777" w:rsidR="00FA1262" w:rsidRPr="00FA1262" w:rsidRDefault="00FA1262" w:rsidP="009B7211">
            <w:pPr>
              <w:jc w:val="both"/>
              <w:rPr>
                <w:rFonts w:ascii="Calibri" w:hAnsi="Calibri" w:cs="Calibri"/>
                <w:color w:val="002060"/>
                <w:sz w:val="22"/>
                <w:szCs w:val="22"/>
              </w:rPr>
            </w:pPr>
            <w:r w:rsidRPr="00FA1262">
              <w:rPr>
                <w:rFonts w:ascii="Calibri" w:hAnsi="Calibri" w:cs="Calibri"/>
                <w:color w:val="002060"/>
                <w:sz w:val="22"/>
                <w:szCs w:val="22"/>
              </w:rPr>
              <w:t>Booking Party Allowed - Oasis Imports &amp; Exports (NZ) LTD (50400198660)</w:t>
            </w:r>
          </w:p>
        </w:tc>
      </w:tr>
      <w:tr w:rsidR="00FA1262" w:rsidRPr="00FA1262" w14:paraId="38B27F67" w14:textId="77777777" w:rsidTr="009B7211">
        <w:trPr>
          <w:trHeight w:val="1037"/>
        </w:trPr>
        <w:tc>
          <w:tcPr>
            <w:tcW w:w="2265" w:type="dxa"/>
            <w:vMerge/>
            <w:tcBorders>
              <w:top w:val="nil"/>
              <w:left w:val="single" w:sz="8" w:space="0" w:color="auto"/>
              <w:bottom w:val="single" w:sz="8" w:space="0" w:color="auto"/>
              <w:right w:val="single" w:sz="8" w:space="0" w:color="auto"/>
            </w:tcBorders>
            <w:vAlign w:val="center"/>
            <w:hideMark/>
          </w:tcPr>
          <w:p w14:paraId="5C862B20" w14:textId="77777777" w:rsidR="00FA1262" w:rsidRPr="00FA1262" w:rsidRDefault="00FA1262" w:rsidP="009B7211">
            <w:pPr>
              <w:jc w:val="both"/>
              <w:rPr>
                <w:rFonts w:ascii="Calibri" w:hAnsi="Calibri" w:cs="Calibri"/>
                <w:color w:val="002060"/>
                <w:sz w:val="22"/>
                <w:szCs w:val="22"/>
              </w:rPr>
            </w:pP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14:paraId="22314883" w14:textId="77777777" w:rsidR="00FA1262" w:rsidRPr="00FA1262" w:rsidRDefault="00FA1262" w:rsidP="009B7211">
            <w:pPr>
              <w:jc w:val="both"/>
              <w:rPr>
                <w:rFonts w:ascii="Calibri" w:hAnsi="Calibri" w:cs="Calibri"/>
                <w:color w:val="002060"/>
                <w:sz w:val="22"/>
                <w:szCs w:val="22"/>
              </w:rPr>
            </w:pPr>
            <w:r w:rsidRPr="00FA1262">
              <w:rPr>
                <w:rFonts w:ascii="Calibri" w:hAnsi="Calibri" w:cs="Calibri"/>
                <w:color w:val="002060"/>
                <w:sz w:val="22"/>
                <w:szCs w:val="22"/>
              </w:rPr>
              <w:t>Asia Rubber</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57B793EB" w14:textId="77777777" w:rsidR="00FA1262" w:rsidRPr="00FA1262" w:rsidRDefault="00FA1262" w:rsidP="009B7211">
            <w:pPr>
              <w:jc w:val="both"/>
              <w:rPr>
                <w:rFonts w:ascii="Calibri" w:hAnsi="Calibri" w:cs="Calibri"/>
                <w:color w:val="002060"/>
                <w:sz w:val="22"/>
                <w:szCs w:val="22"/>
              </w:rPr>
            </w:pPr>
            <w:r w:rsidRPr="00FA1262">
              <w:rPr>
                <w:rFonts w:ascii="Calibri" w:hAnsi="Calibri" w:cs="Calibri"/>
                <w:color w:val="002060"/>
                <w:sz w:val="22"/>
                <w:szCs w:val="22"/>
              </w:rPr>
              <w:t>Booking Party Allowed - Asia Rubber, CETAS Shipping and Logistics LTD (UK) and Elan Trading (USA)</w:t>
            </w:r>
          </w:p>
        </w:tc>
      </w:tr>
      <w:tr w:rsidR="00FA1262" w:rsidRPr="00FA1262" w14:paraId="6676F035" w14:textId="77777777" w:rsidTr="009B7211">
        <w:trPr>
          <w:trHeight w:val="1037"/>
        </w:trPr>
        <w:tc>
          <w:tcPr>
            <w:tcW w:w="2265" w:type="dxa"/>
            <w:vMerge/>
            <w:tcBorders>
              <w:top w:val="nil"/>
              <w:left w:val="single" w:sz="8" w:space="0" w:color="auto"/>
              <w:bottom w:val="single" w:sz="8" w:space="0" w:color="auto"/>
              <w:right w:val="single" w:sz="8" w:space="0" w:color="auto"/>
            </w:tcBorders>
            <w:vAlign w:val="center"/>
            <w:hideMark/>
          </w:tcPr>
          <w:p w14:paraId="32CE74E0" w14:textId="77777777" w:rsidR="00FA1262" w:rsidRPr="00FA1262" w:rsidRDefault="00FA1262" w:rsidP="009B7211">
            <w:pPr>
              <w:jc w:val="both"/>
              <w:rPr>
                <w:rFonts w:ascii="Calibri" w:hAnsi="Calibri" w:cs="Calibri"/>
                <w:color w:val="002060"/>
                <w:sz w:val="22"/>
                <w:szCs w:val="22"/>
              </w:rPr>
            </w:pP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14:paraId="356682C7" w14:textId="77777777" w:rsidR="00FA1262" w:rsidRPr="00FA1262" w:rsidRDefault="00FA1262" w:rsidP="009B7211">
            <w:pPr>
              <w:jc w:val="both"/>
              <w:rPr>
                <w:rFonts w:ascii="Calibri" w:hAnsi="Calibri" w:cs="Calibri"/>
                <w:color w:val="002060"/>
                <w:sz w:val="22"/>
                <w:szCs w:val="22"/>
              </w:rPr>
            </w:pPr>
            <w:r w:rsidRPr="00FA1262">
              <w:rPr>
                <w:rFonts w:ascii="Calibri" w:hAnsi="Calibri" w:cs="Calibri"/>
                <w:color w:val="002060"/>
                <w:sz w:val="22"/>
                <w:szCs w:val="22"/>
              </w:rPr>
              <w:t>Earthman Rubber Industries, Vellis Rubber, Shree Vinayaka Enterprises, Jai Ambe Rubber, United Rubber Granules</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38B3D81F" w14:textId="77777777" w:rsidR="00FA1262" w:rsidRPr="00FA1262" w:rsidRDefault="00FA1262" w:rsidP="009B7211">
            <w:pPr>
              <w:jc w:val="both"/>
              <w:rPr>
                <w:rFonts w:ascii="Calibri" w:hAnsi="Calibri" w:cs="Calibri"/>
                <w:color w:val="002060"/>
                <w:sz w:val="22"/>
                <w:szCs w:val="22"/>
              </w:rPr>
            </w:pPr>
            <w:r w:rsidRPr="00FA1262">
              <w:rPr>
                <w:rFonts w:ascii="Calibri" w:hAnsi="Calibri" w:cs="Calibri"/>
                <w:color w:val="002060"/>
                <w:sz w:val="22"/>
                <w:szCs w:val="22"/>
              </w:rPr>
              <w:t>Booking Party Allowed - Earthman Rubber Industries, CETAS Shipping and Logistics LTD (UK) and Elan Trading (USA)</w:t>
            </w:r>
          </w:p>
        </w:tc>
      </w:tr>
      <w:tr w:rsidR="00FA1262" w:rsidRPr="00FA1262" w14:paraId="2354FAD9" w14:textId="77777777" w:rsidTr="009B7211">
        <w:trPr>
          <w:trHeight w:val="1297"/>
        </w:trPr>
        <w:tc>
          <w:tcPr>
            <w:tcW w:w="2265" w:type="dxa"/>
            <w:vMerge/>
            <w:tcBorders>
              <w:top w:val="nil"/>
              <w:left w:val="single" w:sz="8" w:space="0" w:color="auto"/>
              <w:bottom w:val="single" w:sz="8" w:space="0" w:color="auto"/>
              <w:right w:val="single" w:sz="8" w:space="0" w:color="auto"/>
            </w:tcBorders>
            <w:vAlign w:val="center"/>
            <w:hideMark/>
          </w:tcPr>
          <w:p w14:paraId="7BE9FE03" w14:textId="77777777" w:rsidR="00FA1262" w:rsidRPr="00FA1262" w:rsidRDefault="00FA1262" w:rsidP="009B7211">
            <w:pPr>
              <w:jc w:val="both"/>
              <w:rPr>
                <w:rFonts w:ascii="Calibri" w:hAnsi="Calibri" w:cs="Calibri"/>
                <w:color w:val="002060"/>
                <w:sz w:val="22"/>
                <w:szCs w:val="22"/>
              </w:rPr>
            </w:pPr>
          </w:p>
        </w:tc>
        <w:tc>
          <w:tcPr>
            <w:tcW w:w="2687" w:type="dxa"/>
            <w:tcBorders>
              <w:top w:val="nil"/>
              <w:left w:val="nil"/>
              <w:bottom w:val="single" w:sz="8" w:space="0" w:color="auto"/>
              <w:right w:val="single" w:sz="8" w:space="0" w:color="auto"/>
            </w:tcBorders>
            <w:tcMar>
              <w:top w:w="0" w:type="dxa"/>
              <w:left w:w="108" w:type="dxa"/>
              <w:bottom w:w="0" w:type="dxa"/>
              <w:right w:w="108" w:type="dxa"/>
            </w:tcMar>
            <w:hideMark/>
          </w:tcPr>
          <w:p w14:paraId="5AC2B458" w14:textId="77777777" w:rsidR="00FA1262" w:rsidRPr="00FA1262" w:rsidRDefault="00FA1262" w:rsidP="009B7211">
            <w:pPr>
              <w:jc w:val="both"/>
              <w:rPr>
                <w:rFonts w:ascii="Calibri" w:hAnsi="Calibri" w:cs="Calibri"/>
                <w:color w:val="002060"/>
                <w:sz w:val="22"/>
                <w:szCs w:val="22"/>
              </w:rPr>
            </w:pPr>
            <w:r w:rsidRPr="00FA1262">
              <w:rPr>
                <w:rFonts w:ascii="Calibri" w:hAnsi="Calibri" w:cs="Calibri"/>
                <w:color w:val="002060"/>
                <w:sz w:val="22"/>
                <w:szCs w:val="22"/>
              </w:rPr>
              <w:t xml:space="preserve">Axtron Tex Chem India Pvt Ltd </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7A8D8C86" w14:textId="77777777" w:rsidR="00FA1262" w:rsidRPr="00FA1262" w:rsidRDefault="00FA1262" w:rsidP="009B7211">
            <w:pPr>
              <w:jc w:val="both"/>
              <w:rPr>
                <w:rFonts w:ascii="Calibri" w:hAnsi="Calibri" w:cs="Calibri"/>
                <w:color w:val="002060"/>
                <w:sz w:val="22"/>
                <w:szCs w:val="22"/>
              </w:rPr>
            </w:pPr>
            <w:r w:rsidRPr="00FA1262">
              <w:rPr>
                <w:rFonts w:ascii="Calibri" w:hAnsi="Calibri" w:cs="Calibri"/>
                <w:color w:val="002060"/>
                <w:sz w:val="22"/>
                <w:szCs w:val="22"/>
              </w:rPr>
              <w:t>Booking Party Allowed - Oasis Imports &amp; Exports (NZ) LTD (50400198660), Chartering RORO LLP (41002319590) and Chartering RORO LLC (33103302771)</w:t>
            </w:r>
          </w:p>
        </w:tc>
      </w:tr>
    </w:tbl>
    <w:p w14:paraId="11B42242" w14:textId="78A55D89" w:rsidR="00FA1262" w:rsidRPr="00FA1262" w:rsidRDefault="00FA1262" w:rsidP="00FA1262">
      <w:pPr>
        <w:jc w:val="both"/>
        <w:rPr>
          <w:rFonts w:ascii="Calibri" w:hAnsi="Calibri" w:cs="Calibri"/>
          <w:color w:val="002060"/>
          <w:sz w:val="22"/>
          <w:szCs w:val="22"/>
        </w:rPr>
      </w:pPr>
    </w:p>
    <w:p w14:paraId="3691DC80" w14:textId="77777777" w:rsidR="00FA1262" w:rsidRPr="00FA1262" w:rsidRDefault="00FA1262">
      <w:pPr>
        <w:rPr>
          <w:rFonts w:ascii="Calibri" w:hAnsi="Calibri" w:cs="Calibri"/>
          <w:color w:val="002060"/>
          <w:sz w:val="22"/>
          <w:szCs w:val="22"/>
        </w:rPr>
      </w:pPr>
    </w:p>
    <w:sectPr w:rsidR="00FA1262" w:rsidRPr="00FA1262">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17C2" w14:textId="77777777" w:rsidR="00FA1262" w:rsidRDefault="00FA1262" w:rsidP="00FA1262">
      <w:pPr>
        <w:spacing w:after="0" w:line="240" w:lineRule="auto"/>
      </w:pPr>
      <w:r>
        <w:separator/>
      </w:r>
    </w:p>
  </w:endnote>
  <w:endnote w:type="continuationSeparator" w:id="0">
    <w:p w14:paraId="6FADDA41" w14:textId="77777777" w:rsidR="00FA1262" w:rsidRDefault="00FA1262" w:rsidP="00FA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1EB5" w14:textId="008BC7E4" w:rsidR="00FA1262" w:rsidRDefault="00FA1262">
    <w:pPr>
      <w:pStyle w:val="Footer"/>
    </w:pPr>
    <w:r>
      <w:rPr>
        <w:noProof/>
      </w:rPr>
      <mc:AlternateContent>
        <mc:Choice Requires="wps">
          <w:drawing>
            <wp:anchor distT="0" distB="0" distL="0" distR="0" simplePos="0" relativeHeight="251659264" behindDoc="0" locked="0" layoutInCell="1" allowOverlap="1" wp14:anchorId="0D801FA4" wp14:editId="6E179614">
              <wp:simplePos x="635" y="635"/>
              <wp:positionH relativeFrom="page">
                <wp:align>left</wp:align>
              </wp:positionH>
              <wp:positionV relativeFrom="page">
                <wp:align>bottom</wp:align>
              </wp:positionV>
              <wp:extent cx="1390015" cy="370205"/>
              <wp:effectExtent l="0" t="0" r="635" b="0"/>
              <wp:wrapNone/>
              <wp:docPr id="1180320031"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70205"/>
                      </a:xfrm>
                      <a:prstGeom prst="rect">
                        <a:avLst/>
                      </a:prstGeom>
                      <a:noFill/>
                      <a:ln>
                        <a:noFill/>
                      </a:ln>
                    </wps:spPr>
                    <wps:txbx>
                      <w:txbxContent>
                        <w:p w14:paraId="4581CC1D" w14:textId="1F806109" w:rsidR="00FA1262" w:rsidRPr="00FA1262" w:rsidRDefault="00FA1262" w:rsidP="00FA1262">
                          <w:pPr>
                            <w:spacing w:after="0"/>
                            <w:rPr>
                              <w:rFonts w:ascii="Calibri" w:eastAsia="Calibri" w:hAnsi="Calibri" w:cs="Calibri"/>
                              <w:noProof/>
                              <w:color w:val="000000"/>
                              <w:sz w:val="20"/>
                              <w:szCs w:val="20"/>
                            </w:rPr>
                          </w:pPr>
                          <w:r w:rsidRPr="00FA1262">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801FA4" id="_x0000_t202" coordsize="21600,21600" o:spt="202" path="m,l,21600r21600,l21600,xe">
              <v:stroke joinstyle="miter"/>
              <v:path gradientshapeok="t" o:connecttype="rect"/>
            </v:shapetype>
            <v:shape id="Text Box 2" o:spid="_x0000_s1026" type="#_x0000_t202" alt="Classification: Internal" style="position:absolute;margin-left:0;margin-top:0;width:109.4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" filled="f" stroked="f">
              <v:fill o:detectmouseclick="t"/>
              <v:textbox style="mso-fit-shape-to-text:t" inset="20pt,0,0,15pt">
                <w:txbxContent>
                  <w:p w14:paraId="4581CC1D" w14:textId="1F806109" w:rsidR="00FA1262" w:rsidRPr="00FA1262" w:rsidRDefault="00FA1262" w:rsidP="00FA1262">
                    <w:pPr>
                      <w:spacing w:after="0"/>
                      <w:rPr>
                        <w:rFonts w:ascii="Calibri" w:eastAsia="Calibri" w:hAnsi="Calibri" w:cs="Calibri"/>
                        <w:noProof/>
                        <w:color w:val="000000"/>
                        <w:sz w:val="20"/>
                        <w:szCs w:val="20"/>
                      </w:rPr>
                    </w:pPr>
                    <w:r w:rsidRPr="00FA1262">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46C6" w14:textId="11989289" w:rsidR="00FA1262" w:rsidRDefault="00FA1262">
    <w:pPr>
      <w:pStyle w:val="Footer"/>
    </w:pPr>
    <w:r>
      <w:rPr>
        <w:noProof/>
      </w:rPr>
      <mc:AlternateContent>
        <mc:Choice Requires="wps">
          <w:drawing>
            <wp:anchor distT="0" distB="0" distL="0" distR="0" simplePos="0" relativeHeight="251660288" behindDoc="0" locked="0" layoutInCell="1" allowOverlap="1" wp14:anchorId="253A5BCD" wp14:editId="35ACFCE5">
              <wp:simplePos x="914400" y="10058400"/>
              <wp:positionH relativeFrom="page">
                <wp:align>left</wp:align>
              </wp:positionH>
              <wp:positionV relativeFrom="page">
                <wp:align>bottom</wp:align>
              </wp:positionV>
              <wp:extent cx="1390015" cy="370205"/>
              <wp:effectExtent l="0" t="0" r="635" b="0"/>
              <wp:wrapNone/>
              <wp:docPr id="2124523883"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70205"/>
                      </a:xfrm>
                      <a:prstGeom prst="rect">
                        <a:avLst/>
                      </a:prstGeom>
                      <a:noFill/>
                      <a:ln>
                        <a:noFill/>
                      </a:ln>
                    </wps:spPr>
                    <wps:txbx>
                      <w:txbxContent>
                        <w:p w14:paraId="7E111ADC" w14:textId="71406A32" w:rsidR="00FA1262" w:rsidRPr="00FA1262" w:rsidRDefault="00FA1262" w:rsidP="00FA1262">
                          <w:pPr>
                            <w:spacing w:after="0"/>
                            <w:rPr>
                              <w:rFonts w:ascii="Calibri" w:eastAsia="Calibri" w:hAnsi="Calibri" w:cs="Calibri"/>
                              <w:noProof/>
                              <w:color w:val="000000"/>
                              <w:sz w:val="20"/>
                              <w:szCs w:val="20"/>
                            </w:rPr>
                          </w:pPr>
                          <w:r w:rsidRPr="00FA1262">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3A5BCD" id="_x0000_t202" coordsize="21600,21600" o:spt="202" path="m,l,21600r21600,l21600,xe">
              <v:stroke joinstyle="miter"/>
              <v:path gradientshapeok="t" o:connecttype="rect"/>
            </v:shapetype>
            <v:shape id="Text Box 3" o:spid="_x0000_s1027" type="#_x0000_t202" alt="Classification: Internal" style="position:absolute;margin-left:0;margin-top:0;width:109.4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" filled="f" stroked="f">
              <v:fill o:detectmouseclick="t"/>
              <v:textbox style="mso-fit-shape-to-text:t" inset="20pt,0,0,15pt">
                <w:txbxContent>
                  <w:p w14:paraId="7E111ADC" w14:textId="71406A32" w:rsidR="00FA1262" w:rsidRPr="00FA1262" w:rsidRDefault="00FA1262" w:rsidP="00FA1262">
                    <w:pPr>
                      <w:spacing w:after="0"/>
                      <w:rPr>
                        <w:rFonts w:ascii="Calibri" w:eastAsia="Calibri" w:hAnsi="Calibri" w:cs="Calibri"/>
                        <w:noProof/>
                        <w:color w:val="000000"/>
                        <w:sz w:val="20"/>
                        <w:szCs w:val="20"/>
                      </w:rPr>
                    </w:pPr>
                    <w:r w:rsidRPr="00FA1262">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590F" w14:textId="70FFE393" w:rsidR="00FA1262" w:rsidRDefault="00FA1262">
    <w:pPr>
      <w:pStyle w:val="Footer"/>
    </w:pPr>
    <w:r>
      <w:rPr>
        <w:noProof/>
      </w:rPr>
      <mc:AlternateContent>
        <mc:Choice Requires="wps">
          <w:drawing>
            <wp:anchor distT="0" distB="0" distL="0" distR="0" simplePos="0" relativeHeight="251658240" behindDoc="0" locked="0" layoutInCell="1" allowOverlap="1" wp14:anchorId="23CA7025" wp14:editId="686C066C">
              <wp:simplePos x="635" y="635"/>
              <wp:positionH relativeFrom="page">
                <wp:align>left</wp:align>
              </wp:positionH>
              <wp:positionV relativeFrom="page">
                <wp:align>bottom</wp:align>
              </wp:positionV>
              <wp:extent cx="1390015" cy="370205"/>
              <wp:effectExtent l="0" t="0" r="635" b="0"/>
              <wp:wrapNone/>
              <wp:docPr id="1102980462"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015" cy="370205"/>
                      </a:xfrm>
                      <a:prstGeom prst="rect">
                        <a:avLst/>
                      </a:prstGeom>
                      <a:noFill/>
                      <a:ln>
                        <a:noFill/>
                      </a:ln>
                    </wps:spPr>
                    <wps:txbx>
                      <w:txbxContent>
                        <w:p w14:paraId="39D02947" w14:textId="01CC4A6F" w:rsidR="00FA1262" w:rsidRPr="00FA1262" w:rsidRDefault="00FA1262" w:rsidP="00FA1262">
                          <w:pPr>
                            <w:spacing w:after="0"/>
                            <w:rPr>
                              <w:rFonts w:ascii="Calibri" w:eastAsia="Calibri" w:hAnsi="Calibri" w:cs="Calibri"/>
                              <w:noProof/>
                              <w:color w:val="000000"/>
                              <w:sz w:val="20"/>
                              <w:szCs w:val="20"/>
                            </w:rPr>
                          </w:pPr>
                          <w:r w:rsidRPr="00FA1262">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CA7025" id="_x0000_t202" coordsize="21600,21600" o:spt="202" path="m,l,21600r21600,l21600,xe">
              <v:stroke joinstyle="miter"/>
              <v:path gradientshapeok="t" o:connecttype="rect"/>
            </v:shapetype>
            <v:shape id="Text Box 1" o:spid="_x0000_s1028" type="#_x0000_t202" alt="Classification: Internal" style="position:absolute;margin-left:0;margin-top:0;width:109.4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" filled="f" stroked="f">
              <v:fill o:detectmouseclick="t"/>
              <v:textbox style="mso-fit-shape-to-text:t" inset="20pt,0,0,15pt">
                <w:txbxContent>
                  <w:p w14:paraId="39D02947" w14:textId="01CC4A6F" w:rsidR="00FA1262" w:rsidRPr="00FA1262" w:rsidRDefault="00FA1262" w:rsidP="00FA1262">
                    <w:pPr>
                      <w:spacing w:after="0"/>
                      <w:rPr>
                        <w:rFonts w:ascii="Calibri" w:eastAsia="Calibri" w:hAnsi="Calibri" w:cs="Calibri"/>
                        <w:noProof/>
                        <w:color w:val="000000"/>
                        <w:sz w:val="20"/>
                        <w:szCs w:val="20"/>
                      </w:rPr>
                    </w:pPr>
                    <w:r w:rsidRPr="00FA1262">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BD75" w14:textId="77777777" w:rsidR="00FA1262" w:rsidRDefault="00FA1262" w:rsidP="00FA1262">
      <w:pPr>
        <w:spacing w:after="0" w:line="240" w:lineRule="auto"/>
      </w:pPr>
      <w:r>
        <w:separator/>
      </w:r>
    </w:p>
  </w:footnote>
  <w:footnote w:type="continuationSeparator" w:id="0">
    <w:p w14:paraId="208DAEB3" w14:textId="77777777" w:rsidR="00FA1262" w:rsidRDefault="00FA1262" w:rsidP="00FA1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929"/>
    <w:multiLevelType w:val="hybridMultilevel"/>
    <w:tmpl w:val="1F009BB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3B17737"/>
    <w:multiLevelType w:val="hybridMultilevel"/>
    <w:tmpl w:val="FA260DE0"/>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53C02627"/>
    <w:multiLevelType w:val="hybridMultilevel"/>
    <w:tmpl w:val="C65C4B98"/>
    <w:lvl w:ilvl="0" w:tplc="84B0E246">
      <w:start w:val="1"/>
      <w:numFmt w:val="bullet"/>
      <w:lvlText w:val="•"/>
      <w:lvlJc w:val="left"/>
      <w:pPr>
        <w:tabs>
          <w:tab w:val="num" w:pos="720"/>
        </w:tabs>
        <w:ind w:left="720" w:hanging="360"/>
      </w:pPr>
      <w:rPr>
        <w:rFonts w:ascii="Arial" w:hAnsi="Arial" w:hint="default"/>
      </w:rPr>
    </w:lvl>
    <w:lvl w:ilvl="1" w:tplc="5280703C" w:tentative="1">
      <w:start w:val="1"/>
      <w:numFmt w:val="bullet"/>
      <w:lvlText w:val="•"/>
      <w:lvlJc w:val="left"/>
      <w:pPr>
        <w:tabs>
          <w:tab w:val="num" w:pos="1440"/>
        </w:tabs>
        <w:ind w:left="1440" w:hanging="360"/>
      </w:pPr>
      <w:rPr>
        <w:rFonts w:ascii="Arial" w:hAnsi="Arial" w:hint="default"/>
      </w:rPr>
    </w:lvl>
    <w:lvl w:ilvl="2" w:tplc="06241658" w:tentative="1">
      <w:start w:val="1"/>
      <w:numFmt w:val="bullet"/>
      <w:lvlText w:val="•"/>
      <w:lvlJc w:val="left"/>
      <w:pPr>
        <w:tabs>
          <w:tab w:val="num" w:pos="2160"/>
        </w:tabs>
        <w:ind w:left="2160" w:hanging="360"/>
      </w:pPr>
      <w:rPr>
        <w:rFonts w:ascii="Arial" w:hAnsi="Arial" w:hint="default"/>
      </w:rPr>
    </w:lvl>
    <w:lvl w:ilvl="3" w:tplc="9AE23DC0" w:tentative="1">
      <w:start w:val="1"/>
      <w:numFmt w:val="bullet"/>
      <w:lvlText w:val="•"/>
      <w:lvlJc w:val="left"/>
      <w:pPr>
        <w:tabs>
          <w:tab w:val="num" w:pos="2880"/>
        </w:tabs>
        <w:ind w:left="2880" w:hanging="360"/>
      </w:pPr>
      <w:rPr>
        <w:rFonts w:ascii="Arial" w:hAnsi="Arial" w:hint="default"/>
      </w:rPr>
    </w:lvl>
    <w:lvl w:ilvl="4" w:tplc="4AD2D912" w:tentative="1">
      <w:start w:val="1"/>
      <w:numFmt w:val="bullet"/>
      <w:lvlText w:val="•"/>
      <w:lvlJc w:val="left"/>
      <w:pPr>
        <w:tabs>
          <w:tab w:val="num" w:pos="3600"/>
        </w:tabs>
        <w:ind w:left="3600" w:hanging="360"/>
      </w:pPr>
      <w:rPr>
        <w:rFonts w:ascii="Arial" w:hAnsi="Arial" w:hint="default"/>
      </w:rPr>
    </w:lvl>
    <w:lvl w:ilvl="5" w:tplc="3B80F7D0" w:tentative="1">
      <w:start w:val="1"/>
      <w:numFmt w:val="bullet"/>
      <w:lvlText w:val="•"/>
      <w:lvlJc w:val="left"/>
      <w:pPr>
        <w:tabs>
          <w:tab w:val="num" w:pos="4320"/>
        </w:tabs>
        <w:ind w:left="4320" w:hanging="360"/>
      </w:pPr>
      <w:rPr>
        <w:rFonts w:ascii="Arial" w:hAnsi="Arial" w:hint="default"/>
      </w:rPr>
    </w:lvl>
    <w:lvl w:ilvl="6" w:tplc="A3FC705A" w:tentative="1">
      <w:start w:val="1"/>
      <w:numFmt w:val="bullet"/>
      <w:lvlText w:val="•"/>
      <w:lvlJc w:val="left"/>
      <w:pPr>
        <w:tabs>
          <w:tab w:val="num" w:pos="5040"/>
        </w:tabs>
        <w:ind w:left="5040" w:hanging="360"/>
      </w:pPr>
      <w:rPr>
        <w:rFonts w:ascii="Arial" w:hAnsi="Arial" w:hint="default"/>
      </w:rPr>
    </w:lvl>
    <w:lvl w:ilvl="7" w:tplc="B6683400" w:tentative="1">
      <w:start w:val="1"/>
      <w:numFmt w:val="bullet"/>
      <w:lvlText w:val="•"/>
      <w:lvlJc w:val="left"/>
      <w:pPr>
        <w:tabs>
          <w:tab w:val="num" w:pos="5760"/>
        </w:tabs>
        <w:ind w:left="5760" w:hanging="360"/>
      </w:pPr>
      <w:rPr>
        <w:rFonts w:ascii="Arial" w:hAnsi="Arial" w:hint="default"/>
      </w:rPr>
    </w:lvl>
    <w:lvl w:ilvl="8" w:tplc="646879EC" w:tentative="1">
      <w:start w:val="1"/>
      <w:numFmt w:val="bullet"/>
      <w:lvlText w:val="•"/>
      <w:lvlJc w:val="left"/>
      <w:pPr>
        <w:tabs>
          <w:tab w:val="num" w:pos="6480"/>
        </w:tabs>
        <w:ind w:left="6480" w:hanging="360"/>
      </w:pPr>
      <w:rPr>
        <w:rFonts w:ascii="Arial" w:hAnsi="Arial" w:hint="default"/>
      </w:rPr>
    </w:lvl>
  </w:abstractNum>
  <w:num w:numId="1" w16cid:durableId="36663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4808600">
    <w:abstractNumId w:val="2"/>
  </w:num>
  <w:num w:numId="3" w16cid:durableId="1205219415">
    <w:abstractNumId w:val="0"/>
  </w:num>
  <w:num w:numId="4" w16cid:durableId="143301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62"/>
    <w:rsid w:val="00B42A29"/>
    <w:rsid w:val="00FA12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857A"/>
  <w15:chartTrackingRefBased/>
  <w15:docId w15:val="{39E04681-9033-49DF-A2A8-FD99341D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262"/>
    <w:rPr>
      <w:rFonts w:eastAsiaTheme="majorEastAsia" w:cstheme="majorBidi"/>
      <w:color w:val="272727" w:themeColor="text1" w:themeTint="D8"/>
    </w:rPr>
  </w:style>
  <w:style w:type="paragraph" w:styleId="Title">
    <w:name w:val="Title"/>
    <w:basedOn w:val="Normal"/>
    <w:next w:val="Normal"/>
    <w:link w:val="TitleChar"/>
    <w:uiPriority w:val="10"/>
    <w:qFormat/>
    <w:rsid w:val="00FA1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262"/>
    <w:pPr>
      <w:spacing w:before="160"/>
      <w:jc w:val="center"/>
    </w:pPr>
    <w:rPr>
      <w:i/>
      <w:iCs/>
      <w:color w:val="404040" w:themeColor="text1" w:themeTint="BF"/>
    </w:rPr>
  </w:style>
  <w:style w:type="character" w:customStyle="1" w:styleId="QuoteChar">
    <w:name w:val="Quote Char"/>
    <w:basedOn w:val="DefaultParagraphFont"/>
    <w:link w:val="Quote"/>
    <w:uiPriority w:val="29"/>
    <w:rsid w:val="00FA1262"/>
    <w:rPr>
      <w:i/>
      <w:iCs/>
      <w:color w:val="404040" w:themeColor="text1" w:themeTint="BF"/>
    </w:rPr>
  </w:style>
  <w:style w:type="paragraph" w:styleId="ListParagraph">
    <w:name w:val="List Paragraph"/>
    <w:basedOn w:val="Normal"/>
    <w:uiPriority w:val="34"/>
    <w:qFormat/>
    <w:rsid w:val="00FA1262"/>
    <w:pPr>
      <w:ind w:left="720"/>
      <w:contextualSpacing/>
    </w:pPr>
  </w:style>
  <w:style w:type="character" w:styleId="IntenseEmphasis">
    <w:name w:val="Intense Emphasis"/>
    <w:basedOn w:val="DefaultParagraphFont"/>
    <w:uiPriority w:val="21"/>
    <w:qFormat/>
    <w:rsid w:val="00FA1262"/>
    <w:rPr>
      <w:i/>
      <w:iCs/>
      <w:color w:val="0F4761" w:themeColor="accent1" w:themeShade="BF"/>
    </w:rPr>
  </w:style>
  <w:style w:type="paragraph" w:styleId="IntenseQuote">
    <w:name w:val="Intense Quote"/>
    <w:basedOn w:val="Normal"/>
    <w:next w:val="Normal"/>
    <w:link w:val="IntenseQuoteChar"/>
    <w:uiPriority w:val="30"/>
    <w:qFormat/>
    <w:rsid w:val="00FA1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262"/>
    <w:rPr>
      <w:i/>
      <w:iCs/>
      <w:color w:val="0F4761" w:themeColor="accent1" w:themeShade="BF"/>
    </w:rPr>
  </w:style>
  <w:style w:type="character" w:styleId="IntenseReference">
    <w:name w:val="Intense Reference"/>
    <w:basedOn w:val="DefaultParagraphFont"/>
    <w:uiPriority w:val="32"/>
    <w:qFormat/>
    <w:rsid w:val="00FA1262"/>
    <w:rPr>
      <w:b/>
      <w:bCs/>
      <w:smallCaps/>
      <w:color w:val="0F4761" w:themeColor="accent1" w:themeShade="BF"/>
      <w:spacing w:val="5"/>
    </w:rPr>
  </w:style>
  <w:style w:type="paragraph" w:styleId="Footer">
    <w:name w:val="footer"/>
    <w:basedOn w:val="Normal"/>
    <w:link w:val="FooterChar"/>
    <w:uiPriority w:val="99"/>
    <w:unhideWhenUsed/>
    <w:rsid w:val="00FA1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0043">
      <w:bodyDiv w:val="1"/>
      <w:marLeft w:val="0"/>
      <w:marRight w:val="0"/>
      <w:marTop w:val="0"/>
      <w:marBottom w:val="0"/>
      <w:divBdr>
        <w:top w:val="none" w:sz="0" w:space="0" w:color="auto"/>
        <w:left w:val="none" w:sz="0" w:space="0" w:color="auto"/>
        <w:bottom w:val="none" w:sz="0" w:space="0" w:color="auto"/>
        <w:right w:val="none" w:sz="0" w:space="0" w:color="auto"/>
      </w:divBdr>
    </w:div>
    <w:div w:id="609825210">
      <w:bodyDiv w:val="1"/>
      <w:marLeft w:val="0"/>
      <w:marRight w:val="0"/>
      <w:marTop w:val="0"/>
      <w:marBottom w:val="0"/>
      <w:divBdr>
        <w:top w:val="none" w:sz="0" w:space="0" w:color="auto"/>
        <w:left w:val="none" w:sz="0" w:space="0" w:color="auto"/>
        <w:bottom w:val="none" w:sz="0" w:space="0" w:color="auto"/>
        <w:right w:val="none" w:sz="0" w:space="0" w:color="auto"/>
      </w:divBdr>
    </w:div>
    <w:div w:id="834807241">
      <w:bodyDiv w:val="1"/>
      <w:marLeft w:val="0"/>
      <w:marRight w:val="0"/>
      <w:marTop w:val="0"/>
      <w:marBottom w:val="0"/>
      <w:divBdr>
        <w:top w:val="none" w:sz="0" w:space="0" w:color="auto"/>
        <w:left w:val="none" w:sz="0" w:space="0" w:color="auto"/>
        <w:bottom w:val="none" w:sz="0" w:space="0" w:color="auto"/>
        <w:right w:val="none" w:sz="0" w:space="0" w:color="auto"/>
      </w:divBdr>
    </w:div>
    <w:div w:id="1298225127">
      <w:bodyDiv w:val="1"/>
      <w:marLeft w:val="0"/>
      <w:marRight w:val="0"/>
      <w:marTop w:val="0"/>
      <w:marBottom w:val="0"/>
      <w:divBdr>
        <w:top w:val="none" w:sz="0" w:space="0" w:color="auto"/>
        <w:left w:val="none" w:sz="0" w:space="0" w:color="auto"/>
        <w:bottom w:val="none" w:sz="0" w:space="0" w:color="auto"/>
        <w:right w:val="none" w:sz="0" w:space="0" w:color="auto"/>
      </w:divBdr>
    </w:div>
    <w:div w:id="1698695418">
      <w:bodyDiv w:val="1"/>
      <w:marLeft w:val="0"/>
      <w:marRight w:val="0"/>
      <w:marTop w:val="0"/>
      <w:marBottom w:val="0"/>
      <w:divBdr>
        <w:top w:val="none" w:sz="0" w:space="0" w:color="auto"/>
        <w:left w:val="none" w:sz="0" w:space="0" w:color="auto"/>
        <w:bottom w:val="none" w:sz="0" w:space="0" w:color="auto"/>
        <w:right w:val="none" w:sz="0" w:space="0" w:color="auto"/>
      </w:divBdr>
      <w:divsChild>
        <w:div w:id="723144135">
          <w:marLeft w:val="360"/>
          <w:marRight w:val="0"/>
          <w:marTop w:val="0"/>
          <w:marBottom w:val="0"/>
          <w:divBdr>
            <w:top w:val="none" w:sz="0" w:space="0" w:color="auto"/>
            <w:left w:val="none" w:sz="0" w:space="0" w:color="auto"/>
            <w:bottom w:val="none" w:sz="0" w:space="0" w:color="auto"/>
            <w:right w:val="none" w:sz="0" w:space="0" w:color="auto"/>
          </w:divBdr>
        </w:div>
        <w:div w:id="174472060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Saini</dc:creator>
  <cp:keywords/>
  <dc:description/>
  <cp:lastModifiedBy>Deepak Saini</cp:lastModifiedBy>
  <cp:revision>1</cp:revision>
  <dcterms:created xsi:type="dcterms:W3CDTF">2025-07-21T12:43:00Z</dcterms:created>
  <dcterms:modified xsi:type="dcterms:W3CDTF">2025-07-21T12:53:00Z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41be256e,465a411f,7ea1a96b</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y fmtid="{D5CDD505-2E9C-101B-9397-08002B2CF9AE}" pid="5" name="MSIP_Label_71bba39d-4745-4e9d-97db-0c1927b54242_Enabled">
    <vt:lpwstr>true</vt:lpwstr>
  </property>
  <property fmtid="{D5CDD505-2E9C-101B-9397-08002B2CF9AE}" pid="6" name="MSIP_Label_71bba39d-4745-4e9d-97db-0c1927b54242_SetDate">
    <vt:lpwstr>2025-07-21T12:53:03Z</vt:lpwstr>
  </property>
  <property fmtid="{D5CDD505-2E9C-101B-9397-08002B2CF9AE}" pid="7" name="MSIP_Label_71bba39d-4745-4e9d-97db-0c1927b54242_Method">
    <vt:lpwstr>Privileged</vt:lpwstr>
  </property>
  <property fmtid="{D5CDD505-2E9C-101B-9397-08002B2CF9AE}" pid="8" name="MSIP_Label_71bba39d-4745-4e9d-97db-0c1927b54242_Name">
    <vt:lpwstr>Internal</vt:lpwstr>
  </property>
  <property fmtid="{D5CDD505-2E9C-101B-9397-08002B2CF9AE}" pid="9" name="MSIP_Label_71bba39d-4745-4e9d-97db-0c1927b54242_SiteId">
    <vt:lpwstr>05d75c05-fa1a-42e7-9cf1-eb416c396f2d</vt:lpwstr>
  </property>
  <property fmtid="{D5CDD505-2E9C-101B-9397-08002B2CF9AE}" pid="10" name="MSIP_Label_71bba39d-4745-4e9d-97db-0c1927b54242_ActionId">
    <vt:lpwstr>7d1f0792-4e97-4616-a262-a1ae4b233354</vt:lpwstr>
  </property>
  <property fmtid="{D5CDD505-2E9C-101B-9397-08002B2CF9AE}" pid="11" name="MSIP_Label_71bba39d-4745-4e9d-97db-0c1927b54242_ContentBits">
    <vt:lpwstr>2</vt:lpwstr>
  </property>
  <property fmtid="{D5CDD505-2E9C-101B-9397-08002B2CF9AE}" pid="12" name="MSIP_Label_71bba39d-4745-4e9d-97db-0c1927b54242_Tag">
    <vt:lpwstr>10, 0, 1, 1</vt:lpwstr>
  </property>
</Properties>
</file>